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Diffusing Systems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09/29/2015 @ 5:57 AM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This blog post from SoL member David Stroh identifies five reasons why it is difficult to motivate people to think systemically and fourteen strategies for engaging them to use systems thinking to increase system-wide performance. What do you think? What are your favorite and most efficient strategies to promote and motivate systems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Daniela Peltekova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Also David's new book Systems Thinking for Social Change: A Practical Guide for Solving Complex Problems, Avoiding Unintended Consequences, and Achieving Lasting Results is being published this Fall!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Diffusing Systems Thinking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Posted @ 9/28/2015 1:27 PM by Administrator A senior executive in a national philanthropic association recently commented: "Systems thinking has been around for many years, and I really see its value. However, many people see it as too daunting and difficult. How can I encourage them to use it?"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ridgewaypartners.com/Blog/tabid/67/entryid/23/Diffusing-Systems-Thinking.aspx" TargetMode="External"/><Relationship Id="rId6" Type="http://schemas.openxmlformats.org/officeDocument/2006/relationships/hyperlink" Target="http://www.bridgewaypartners.com/Blog/tabid/67/entryid/23/Diffusing-Systems-Thinking.aspx" TargetMode="External"/></Relationships>
</file>