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  <w:t xml:space="preserve"> The Leadership of Emergence – A Complex Systems Leadership Theory of Emergence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Published: </w:t>
      </w:r>
      <w:r w:rsidDel="00000000" w:rsidR="00000000" w:rsidRPr="00000000">
        <w:rPr>
          <w:rtl w:val="0"/>
        </w:rPr>
        <w:t xml:space="preserve"> 09/28/2015 @ 1:40 PM Eastern Time (UTC -04:00)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Benyamin B. Lichtenstein from University of Massachusetts, Boston and Donde Ashmos Plowman from University of Nebraska-Lincoln, explore how complexity science reframes leadership.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Author: </w:t>
      </w:r>
      <w:r w:rsidDel="00000000" w:rsidR="00000000" w:rsidRPr="00000000">
        <w:rPr>
          <w:rtl w:val="0"/>
        </w:rPr>
        <w:t xml:space="preserve">Daniela Peltekova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Abstract: Complexity science reframes leadership by focusing on the dynamic interactions between all individuals, explaining how those interactions can, under certain conditions, produce emergent outcomes. We develop a Leadership of Emergence using this approach, through an analysis of three empirical studies which document emergence in distinct contexts. Each of these studies identifies the same four “conditions” for emergence: the presence of a Dis-equilibrium state, Amplifying actions, Recombination/“Self-organization”, and Stabilizing feedback. From these studies we also show how these conditions can be generated through nine specific behaviors which leaders can enact, including: Disrupt existing patterns through embracing uncertainty and creating controversy, Encourage novelty by allowing experiments and supporting collective action, Provide sense-making and sense-giving through the artful use of language and symbols, and Stabilize the system by Integrating local constraints. Finally, we suggest ways for advancing a meso-model of leadership, and show how our findings can improve complexity science applications in management.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-57149</wp:posOffset>
            </wp:positionH>
            <wp:positionV relativeFrom="paragraph">
              <wp:posOffset>0</wp:posOffset>
            </wp:positionV>
            <wp:extent cx="4957763" cy="3106547"/>
            <wp:effectExtent b="0" l="0" r="0" t="0"/>
            <wp:wrapSquare wrapText="bothSides" distB="114300" distT="11430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7763" cy="31065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http://digitalcommons.unl.edu/cgi/viewcontent.cgi?article=1065&amp;context=managementfacpub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yperlink" Target="http://digitalcommons.unl.edu/cgi/viewcontent.cgi?article=1065&amp;context=managementfacpub" TargetMode="External"/></Relationships>
</file>