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The Solutions Journal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Published 02/11/2016 @ 2:56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A wonderful article by Linda Booth Sweeney, Systems Educator, an Award-Winning Author and SoL NA member: How can adults nurture children's capacity to "connect the dots" through everyday conversations and activities? How can educators build an environment that leads children to see the patterns that make a difference?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The Solutions Journal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In BriefHow can can adults nurture children's capacity to "connect the dots" through everyday conversations and activities? How can educators build an environment that leads children to see the patterns that make a difference?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hesolutionsjournal.com/node/1167" TargetMode="External"/><Relationship Id="rId6" Type="http://schemas.openxmlformats.org/officeDocument/2006/relationships/hyperlink" Target="http://www.thesolutionsjournal.com/node/1167" TargetMode="External"/></Relationships>
</file>