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Systems Thinking Circular by Linda Booth Sweeney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Published:</w:t>
      </w:r>
      <w:r w:rsidDel="00000000" w:rsidR="00000000" w:rsidRPr="00000000">
        <w:rPr>
          <w:rtl w:val="0"/>
        </w:rPr>
        <w:t xml:space="preserve">01/08/2016 @ 2:59 PM Eastern Time (UTC -04:00)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Author:</w:t>
      </w:r>
      <w:r w:rsidDel="00000000" w:rsidR="00000000" w:rsidRPr="00000000">
        <w:rPr>
          <w:rtl w:val="0"/>
        </w:rPr>
        <w:t xml:space="preserve"> Daniela Peltekova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My First Systems Thinking Circular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do we raise a generation for the Ellen Macarthur Foundation's circular economy natives? In this Disruptive Innovation Festival, I looked upstream to seven emerging trends in education, communication and cognitive science. The session is recorded so you can catch it online through the end of December.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us11.campaign-archive1.com/?u=8e3d3524d9fe56c8e4a6bee95&amp;id=076f56d07e&amp;e=7eb3412b4f" TargetMode="External"/><Relationship Id="rId6" Type="http://schemas.openxmlformats.org/officeDocument/2006/relationships/hyperlink" Target="http://us11.campaign-archive1.com/?u=8e3d3524d9fe56c8e4a6bee95&amp;id=076f56d07e&amp;e=7eb3412b4f" TargetMode="External"/></Relationships>
</file>