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Title:</w:t>
      </w:r>
      <w:r w:rsidDel="00000000" w:rsidR="00000000" w:rsidRPr="00000000">
        <w:rPr>
          <w:rtl w:val="0"/>
        </w:rPr>
        <w:t xml:space="preserve"> Beyond disruptive innovation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Published: </w:t>
      </w:r>
      <w:r w:rsidDel="00000000" w:rsidR="00000000" w:rsidRPr="00000000">
        <w:rPr>
          <w:rtl w:val="0"/>
        </w:rPr>
        <w:t xml:space="preserve">Published 05/18/2015 @ 9:46 AM Eastern Time (UTC -04:00)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Description:</w:t>
      </w:r>
      <w:r w:rsidDel="00000000" w:rsidR="00000000" w:rsidRPr="00000000">
        <w:rPr>
          <w:rtl w:val="0"/>
        </w:rPr>
        <w:t xml:space="preserve"> Sustainable systems based improvement in education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Author:</w:t>
      </w:r>
      <w:r w:rsidDel="00000000" w:rsidR="00000000" w:rsidRPr="00000000">
        <w:rPr>
          <w:rtl w:val="0"/>
        </w:rPr>
        <w:t xml:space="preserve"> Richard Owens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Linda Darling-Hammond is Charles E. Ducommun Professor of Education at Stanford University where she has launched the Stanford Center for Opportunity Policy in Education and the School Redesign Network and served as faculty sponsor for the Stanford Teacher Education Program. She is a former president of the American Educational Research Association and member of the National Academy of Education.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Linda Darling-Hammond - The Flat World and Education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Darling-Hammond differentiates in this video between short term 'popcorn' reforms and those based around a long term, ongoing commitment to improvement. I love the popcorn analogy - lots of instant appeal, but ultimately light weight and lacking in real nourishment. Most of all, her ideas appeal due to the systems emphasis and the need for communities and politicians to move past the temptation of the quick fix. For me, the big question of how we can create systems that effectively support continual change and improvement seems of fundamental importance.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luPazaB0bc" TargetMode="External"/></Relationships>
</file>